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lang w:val="uk-UA"/>
        </w:rPr>
      </w:pPr>
      <w:r>
        <w:rPr>
          <w:b/>
          <w:bCs/>
          <w:sz w:val="28"/>
          <w:szCs w:val="28"/>
          <w:lang w:val="uk-UA"/>
        </w:rPr>
        <w:t>КАРТКА ЗАХОДУ</w:t>
      </w:r>
    </w:p>
    <w:p>
      <w:pPr>
        <w:pStyle w:val="Normal"/>
        <w:jc w:val="center"/>
        <w:rPr>
          <w:b/>
          <w:b/>
          <w:bCs/>
          <w:color w:val="000000"/>
          <w:sz w:val="28"/>
          <w:szCs w:val="28"/>
          <w:lang w:val="uk-UA"/>
        </w:rPr>
      </w:pPr>
      <w:r>
        <w:rPr>
          <w:sz w:val="28"/>
          <w:szCs w:val="28"/>
          <w:lang w:val="uk-UA"/>
        </w:rPr>
        <w:t>(</w:t>
      </w:r>
      <w:r>
        <w:rPr>
          <w:i/>
          <w:iCs/>
          <w:color w:val="000000"/>
          <w:sz w:val="28"/>
          <w:szCs w:val="28"/>
          <w:lang w:val="uk-UA"/>
        </w:rPr>
        <w:t>майстер-клас, симуляційний тренінг, тренінг з оволодіння практичними навичками, тренінг, семінар, фахова (тематична) школа</w:t>
      </w:r>
      <w:r>
        <w:rPr>
          <w:color w:val="000000"/>
          <w:sz w:val="28"/>
          <w:szCs w:val="28"/>
          <w:lang w:val="uk-UA"/>
        </w:rPr>
        <w:t>)</w:t>
      </w:r>
    </w:p>
    <w:p>
      <w:pPr>
        <w:pStyle w:val="Normal"/>
        <w:jc w:val="center"/>
        <w:rPr>
          <w:b/>
          <w:b/>
          <w:bCs/>
          <w:sz w:val="28"/>
          <w:szCs w:val="28"/>
          <w:lang w:val="uk-UA"/>
        </w:rPr>
      </w:pPr>
      <w:r>
        <w:rPr>
          <w:b/>
          <w:bCs/>
          <w:sz w:val="28"/>
          <w:szCs w:val="28"/>
          <w:lang w:val="uk-UA"/>
        </w:rPr>
        <w:t>БПР МЕДИЧНИХ</w:t>
      </w:r>
      <w:r>
        <w:rPr>
          <w:b/>
          <w:bCs/>
          <w:spacing w:val="1"/>
          <w:sz w:val="28"/>
          <w:szCs w:val="28"/>
          <w:lang w:val="uk-UA"/>
        </w:rPr>
        <w:t xml:space="preserve"> </w:t>
      </w:r>
      <w:r>
        <w:rPr>
          <w:b/>
          <w:bCs/>
          <w:sz w:val="28"/>
          <w:szCs w:val="28"/>
          <w:lang w:val="uk-UA"/>
        </w:rPr>
        <w:t>ТА</w:t>
      </w:r>
      <w:r>
        <w:rPr>
          <w:b/>
          <w:bCs/>
          <w:spacing w:val="1"/>
          <w:sz w:val="28"/>
          <w:szCs w:val="28"/>
          <w:lang w:val="uk-UA"/>
        </w:rPr>
        <w:t xml:space="preserve"> </w:t>
      </w:r>
      <w:r>
        <w:rPr>
          <w:b/>
          <w:bCs/>
          <w:sz w:val="28"/>
          <w:szCs w:val="28"/>
          <w:lang w:val="uk-UA"/>
        </w:rPr>
        <w:t>ФАРМАЦЕВТИЧНИХ</w:t>
      </w:r>
      <w:r>
        <w:rPr>
          <w:b/>
          <w:bCs/>
          <w:spacing w:val="1"/>
          <w:sz w:val="28"/>
          <w:szCs w:val="28"/>
          <w:lang w:val="uk-UA"/>
        </w:rPr>
        <w:t xml:space="preserve"> </w:t>
      </w:r>
      <w:r>
        <w:rPr>
          <w:b/>
          <w:bCs/>
          <w:sz w:val="28"/>
          <w:szCs w:val="28"/>
          <w:lang w:val="uk-UA"/>
        </w:rPr>
        <w:t>ПРАЦІВНИКІВ</w:t>
      </w:r>
    </w:p>
    <w:tbl>
      <w:tblPr>
        <w:tblStyle w:val="ac"/>
        <w:tblW w:w="86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3"/>
        <w:gridCol w:w="4675"/>
      </w:tblGrid>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highlight w:val="white"/>
                <w:lang w:val="uk-UA" w:eastAsia="en-US" w:bidi="ar-SA"/>
              </w:rPr>
              <w:t>Назва заходу БПР</w:t>
            </w:r>
          </w:p>
        </w:tc>
        <w:tc>
          <w:tcPr>
            <w:tcW w:w="4675" w:type="dxa"/>
            <w:tcBorders/>
            <w:shd w:color="auto" w:fill="auto" w:val="clear"/>
          </w:tcPr>
          <w:p>
            <w:pPr>
              <w:pStyle w:val="Normal"/>
              <w:widowControl w:val="false"/>
              <w:spacing w:before="0" w:after="0"/>
              <w:jc w:val="center"/>
              <w:rPr>
                <w:kern w:val="0"/>
                <w:lang w:eastAsia="en-US" w:bidi="ar-SA"/>
              </w:rPr>
            </w:pPr>
            <w:r>
              <w:rPr>
                <w:b/>
                <w:bCs/>
                <w:kern w:val="0"/>
                <w:sz w:val="24"/>
                <w:szCs w:val="24"/>
                <w:lang w:eastAsia="en-US" w:bidi="ar-SA"/>
              </w:rPr>
              <w:t xml:space="preserve">Natural concept in action  </w:t>
            </w:r>
          </w:p>
          <w:p>
            <w:pPr>
              <w:pStyle w:val="Normal"/>
              <w:widowControl w:val="false"/>
              <w:spacing w:before="0" w:after="0"/>
              <w:jc w:val="center"/>
              <w:rPr>
                <w:b/>
                <w:b/>
                <w:bCs/>
                <w:sz w:val="24"/>
                <w:szCs w:val="24"/>
              </w:rPr>
            </w:pPr>
            <w:r>
              <w:rPr>
                <w:b/>
                <w:bCs/>
                <w:kern w:val="0"/>
                <w:sz w:val="24"/>
                <w:szCs w:val="24"/>
                <w:lang w:eastAsia="en-US" w:bidi="ar-SA"/>
              </w:rPr>
              <w:t>(</w:t>
            </w:r>
            <w:r>
              <w:rPr>
                <w:b/>
                <w:bCs/>
                <w:kern w:val="0"/>
                <w:sz w:val="24"/>
                <w:szCs w:val="24"/>
                <w:lang w:val="uk-UA" w:eastAsia="en-US" w:bidi="ar-SA"/>
              </w:rPr>
              <w:t xml:space="preserve">Концепція натуральності в дії)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lang w:val="uk-UA" w:eastAsia="en-US" w:bidi="ar-SA"/>
              </w:rPr>
              <w:t>Назва Провайдера (з Єдиного державного реєстру юридичних осіб, фізичних осіб – підприємців та громадських формувань)</w:t>
            </w:r>
          </w:p>
        </w:tc>
        <w:tc>
          <w:tcPr>
            <w:tcW w:w="4675" w:type="dxa"/>
            <w:tcBorders/>
            <w:shd w:color="auto" w:fill="auto" w:val="clear"/>
          </w:tcPr>
          <w:p>
            <w:pPr>
              <w:pStyle w:val="Normal"/>
              <w:widowControl w:val="false"/>
              <w:spacing w:lineRule="atLeast" w:line="100" w:before="0" w:after="0"/>
              <w:jc w:val="center"/>
              <w:rPr>
                <w:lang w:val="ru-RU"/>
              </w:rPr>
            </w:pPr>
            <w:r>
              <w:rPr>
                <w:b/>
                <w:bCs/>
                <w:color w:val="1F1F1F"/>
                <w:kern w:val="0"/>
                <w:sz w:val="24"/>
                <w:szCs w:val="24"/>
                <w:lang w:val="uk-UA" w:eastAsia="en-US" w:bidi="ar-SA"/>
              </w:rPr>
              <w:t xml:space="preserve">Товариство з обмеженою відповідальністю </w:t>
            </w:r>
          </w:p>
          <w:p>
            <w:pPr>
              <w:pStyle w:val="Normal"/>
              <w:widowControl w:val="false"/>
              <w:spacing w:lineRule="atLeast" w:line="100" w:before="0" w:after="0"/>
              <w:jc w:val="center"/>
              <w:rPr>
                <w:b/>
                <w:b/>
                <w:bCs/>
                <w:sz w:val="24"/>
                <w:szCs w:val="24"/>
                <w:lang w:val="uk-UA"/>
              </w:rPr>
            </w:pPr>
            <w:r>
              <w:rPr>
                <w:b/>
                <w:bCs/>
                <w:color w:val="1F1F1F"/>
                <w:kern w:val="0"/>
                <w:sz w:val="24"/>
                <w:szCs w:val="24"/>
                <w:lang w:val="uk-UA" w:eastAsia="en-US" w:bidi="ar-SA"/>
              </w:rPr>
              <w:t>«СЕНС ЕДЬЮКЕЙШН»</w:t>
            </w:r>
            <w:r>
              <w:rPr>
                <w:b/>
                <w:bCs/>
                <w:kern w:val="0"/>
                <w:sz w:val="24"/>
                <w:szCs w:val="24"/>
                <w:lang w:val="uk-UA" w:eastAsia="en-US" w:bidi="ar-SA"/>
              </w:rPr>
              <w:t xml:space="preserve">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lang w:val="uk-UA" w:eastAsia="en-US" w:bidi="ar-SA"/>
              </w:rPr>
              <w:t>Співорганізатори заходу</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немає</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highlight w:val="white"/>
                <w:lang w:val="uk-UA" w:eastAsia="en-US" w:bidi="ar-SA"/>
              </w:rPr>
              <w:t>Цільова аудиторія (відповідно до Номенклатури лікарських спеціальностей)</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80. Ортопедична стоматологія</w:t>
            </w:r>
          </w:p>
          <w:p>
            <w:pPr>
              <w:pStyle w:val="Normal"/>
              <w:widowControl w:val="false"/>
              <w:spacing w:before="0" w:after="0"/>
              <w:jc w:val="center"/>
              <w:rPr>
                <w:b/>
                <w:b/>
                <w:bCs/>
                <w:sz w:val="24"/>
                <w:szCs w:val="24"/>
                <w:lang w:val="uk-UA"/>
              </w:rPr>
            </w:pPr>
            <w:r>
              <w:rPr>
                <w:b/>
                <w:bCs/>
                <w:kern w:val="0"/>
                <w:sz w:val="24"/>
                <w:szCs w:val="24"/>
                <w:lang w:val="uk-UA" w:eastAsia="en-US" w:bidi="ar-SA"/>
              </w:rPr>
              <w:t xml:space="preserve">105. Стоматологія </w:t>
            </w:r>
          </w:p>
          <w:p>
            <w:pPr>
              <w:pStyle w:val="Normal"/>
              <w:widowControl w:val="false"/>
              <w:spacing w:before="0" w:after="0"/>
              <w:jc w:val="center"/>
              <w:rPr>
                <w:b/>
                <w:b/>
                <w:bCs/>
                <w:sz w:val="24"/>
                <w:szCs w:val="24"/>
                <w:lang w:val="uk-UA"/>
              </w:rPr>
            </w:pPr>
            <w:r>
              <w:rPr>
                <w:b/>
                <w:bCs/>
                <w:kern w:val="0"/>
                <w:sz w:val="24"/>
                <w:szCs w:val="24"/>
                <w:lang w:val="uk-UA" w:eastAsia="en-US" w:bidi="ar-SA"/>
              </w:rPr>
              <w:t>116. Терапевтична стоматологія</w:t>
            </w:r>
          </w:p>
          <w:p>
            <w:pPr>
              <w:pStyle w:val="Normal"/>
              <w:widowControl w:val="false"/>
              <w:spacing w:before="0" w:after="0"/>
              <w:jc w:val="center"/>
              <w:rPr>
                <w:b/>
                <w:b/>
                <w:bCs/>
                <w:sz w:val="24"/>
                <w:szCs w:val="24"/>
                <w:lang w:val="uk-UA"/>
              </w:rPr>
            </w:pPr>
            <w:r>
              <w:rPr>
                <w:b/>
                <w:bCs/>
                <w:kern w:val="0"/>
                <w:sz w:val="24"/>
                <w:szCs w:val="22"/>
                <w:lang w:val="uk-UA" w:eastAsia="en-US" w:bidi="ar-SA"/>
              </w:rPr>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lang w:val="uk-UA" w:eastAsia="en-US" w:bidi="ar-SA"/>
              </w:rPr>
              <w:t>Вид заходу БПР</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 xml:space="preserve">Майстер-клас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lang w:val="uk-UA" w:eastAsia="en-US" w:bidi="ar-SA"/>
              </w:rPr>
              <w:t>Запланована кількість учасників</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10 учасників</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highlight w:val="white"/>
                <w:lang w:val="uk-UA" w:eastAsia="en-US" w:bidi="ar-SA"/>
              </w:rPr>
              <w:t>Мета навчання</w:t>
            </w:r>
          </w:p>
        </w:tc>
        <w:tc>
          <w:tcPr>
            <w:tcW w:w="4675" w:type="dxa"/>
            <w:tcBorders/>
            <w:shd w:color="auto" w:fill="auto" w:val="clear"/>
          </w:tcPr>
          <w:p>
            <w:pPr>
              <w:pStyle w:val="Normal"/>
              <w:widowControl w:val="false"/>
              <w:spacing w:before="0" w:after="0"/>
              <w:jc w:val="center"/>
              <w:rPr>
                <w:lang w:val="ru-RU"/>
              </w:rPr>
            </w:pPr>
            <w:r>
              <w:rPr>
                <w:b/>
                <w:bCs/>
                <w:kern w:val="0"/>
                <w:sz w:val="24"/>
                <w:szCs w:val="24"/>
                <w:lang w:val="uk-UA" w:eastAsia="en-US" w:bidi="ar-SA"/>
              </w:rPr>
              <w:t xml:space="preserve">Оволодіти клінічним навичкам и планування та реалізації </w:t>
            </w:r>
          </w:p>
          <w:p>
            <w:pPr>
              <w:pStyle w:val="Normal"/>
              <w:widowControl w:val="false"/>
              <w:spacing w:before="0" w:after="0"/>
              <w:jc w:val="center"/>
              <w:rPr>
                <w:b/>
                <w:b/>
                <w:bCs/>
                <w:sz w:val="24"/>
                <w:szCs w:val="24"/>
                <w:lang w:val="uk-UA"/>
              </w:rPr>
            </w:pPr>
            <w:r>
              <w:rPr>
                <w:b/>
                <w:bCs/>
                <w:kern w:val="0"/>
                <w:sz w:val="24"/>
                <w:szCs w:val="24"/>
                <w:lang w:val="uk-UA" w:eastAsia="en-US" w:bidi="ar-SA"/>
              </w:rPr>
              <w:t xml:space="preserve">естетико-функціональної реабілітації пацієнтів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b/>
                <w:b/>
                <w:bCs/>
                <w:sz w:val="24"/>
                <w:szCs w:val="24"/>
                <w:lang w:val="uk-UA"/>
              </w:rPr>
            </w:pPr>
            <w:r>
              <w:rPr>
                <w:kern w:val="0"/>
                <w:sz w:val="24"/>
                <w:szCs w:val="24"/>
                <w:highlight w:val="white"/>
                <w:lang w:val="uk-UA" w:eastAsia="en-US" w:bidi="ar-SA"/>
              </w:rPr>
              <w:t>Метод / методи навчання</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Лекція, практична демонстрація , самостійна робота</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Кількість балів БПР</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20</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Дата заходу БПР</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4-5.11.2023</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Місце проведення заходу БПР (повна адреса)</w:t>
            </w:r>
          </w:p>
        </w:tc>
        <w:tc>
          <w:tcPr>
            <w:tcW w:w="4675" w:type="dxa"/>
            <w:tcBorders/>
            <w:shd w:color="auto" w:fill="auto" w:val="clear"/>
          </w:tcPr>
          <w:p>
            <w:pPr>
              <w:pStyle w:val="Normal"/>
              <w:widowControl w:val="false"/>
              <w:spacing w:before="0" w:after="0"/>
              <w:jc w:val="center"/>
              <w:rPr>
                <w:b/>
                <w:b/>
                <w:bCs/>
                <w:sz w:val="24"/>
                <w:szCs w:val="24"/>
                <w:lang w:val="uk-UA"/>
              </w:rPr>
            </w:pPr>
            <w:r>
              <w:rPr>
                <w:b/>
                <w:bCs/>
                <w:color w:val="000000"/>
                <w:kern w:val="0"/>
                <w:sz w:val="24"/>
                <w:szCs w:val="24"/>
                <w:lang w:val="uk-UA" w:eastAsia="en-US" w:bidi="ar-SA"/>
              </w:rPr>
              <w:t xml:space="preserve">м. Харків, вул. Конторська 5Б, навчальний центр SENSE education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highlight w:val="white"/>
                <w:lang w:val="uk-UA" w:eastAsia="en-US" w:bidi="ar-SA"/>
              </w:rPr>
              <w:t>Прізвище, ім’я та по батькові лектора/тренера</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Ковальчук Дмитро Олегович</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highlight w:val="white"/>
                <w:lang w:val="uk-UA" w:eastAsia="en-US" w:bidi="ar-SA"/>
              </w:rPr>
              <w:t>Резюме лектора/тренера</w:t>
            </w:r>
          </w:p>
        </w:tc>
        <w:tc>
          <w:tcPr>
            <w:tcW w:w="4675" w:type="dxa"/>
            <w:tcBorders/>
            <w:shd w:color="auto" w:fill="auto" w:val="clear"/>
          </w:tcPr>
          <w:p>
            <w:pPr>
              <w:pStyle w:val="Normal"/>
              <w:widowControl w:val="false"/>
              <w:spacing w:before="0" w:after="0"/>
              <w:jc w:val="center"/>
              <w:rPr>
                <w:b/>
                <w:b/>
                <w:bCs/>
                <w:sz w:val="24"/>
                <w:szCs w:val="24"/>
                <w:lang w:val="ru-RU"/>
              </w:rPr>
            </w:pPr>
            <w:r>
              <w:rPr>
                <w:b/>
                <w:bCs/>
                <w:kern w:val="0"/>
                <w:sz w:val="24"/>
                <w:szCs w:val="24"/>
                <w:lang w:val="ru-RU" w:eastAsia="en-US" w:bidi="ar-SA"/>
              </w:rPr>
              <w:t>2008- зак</w:t>
            </w:r>
            <w:r>
              <w:rPr>
                <w:b/>
                <w:bCs/>
                <w:kern w:val="0"/>
                <w:sz w:val="24"/>
                <w:szCs w:val="24"/>
                <w:lang w:val="uk-UA" w:eastAsia="en-US" w:bidi="ar-SA"/>
              </w:rPr>
              <w:t>інчив ХНМУ</w:t>
            </w:r>
          </w:p>
          <w:p>
            <w:pPr>
              <w:pStyle w:val="Normal"/>
              <w:widowControl w:val="false"/>
              <w:spacing w:before="0" w:after="0"/>
              <w:jc w:val="center"/>
              <w:rPr>
                <w:b/>
                <w:b/>
                <w:bCs/>
                <w:sz w:val="24"/>
                <w:szCs w:val="24"/>
                <w:lang w:val="ru-RU"/>
              </w:rPr>
            </w:pPr>
            <w:r>
              <w:rPr>
                <w:b/>
                <w:bCs/>
                <w:kern w:val="0"/>
                <w:sz w:val="24"/>
                <w:szCs w:val="24"/>
                <w:lang w:val="uk-UA" w:eastAsia="en-US" w:bidi="ar-SA"/>
              </w:rPr>
              <w:t>2010- закінчив інтернатуру ХНМУ</w:t>
            </w:r>
          </w:p>
          <w:p>
            <w:pPr>
              <w:pStyle w:val="Normal"/>
              <w:widowControl w:val="false"/>
              <w:spacing w:before="0" w:after="0"/>
              <w:jc w:val="center"/>
              <w:rPr>
                <w:b/>
                <w:b/>
                <w:bCs/>
                <w:sz w:val="24"/>
                <w:szCs w:val="24"/>
                <w:lang w:val="ru-RU"/>
              </w:rPr>
            </w:pPr>
            <w:r>
              <w:rPr>
                <w:b/>
                <w:bCs/>
                <w:kern w:val="0"/>
                <w:sz w:val="24"/>
                <w:szCs w:val="24"/>
                <w:lang w:val="uk-UA" w:eastAsia="en-US" w:bidi="ar-SA"/>
              </w:rPr>
              <w:t xml:space="preserve">2011- отримав спеціалізацію по ортопедії </w:t>
            </w:r>
          </w:p>
          <w:p>
            <w:pPr>
              <w:pStyle w:val="Normal"/>
              <w:widowControl w:val="false"/>
              <w:spacing w:before="0" w:after="0"/>
              <w:jc w:val="center"/>
              <w:rPr>
                <w:b/>
                <w:b/>
                <w:bCs/>
                <w:sz w:val="24"/>
                <w:szCs w:val="24"/>
                <w:lang w:val="ru-RU"/>
              </w:rPr>
            </w:pPr>
            <w:r>
              <w:rPr>
                <w:b/>
                <w:bCs/>
                <w:kern w:val="0"/>
                <w:sz w:val="24"/>
                <w:szCs w:val="24"/>
                <w:lang w:val="uk-UA" w:eastAsia="en-US" w:bidi="ar-SA"/>
              </w:rPr>
              <w:t xml:space="preserve">2012- очолив приватну клініку </w:t>
            </w:r>
            <w:r>
              <w:rPr>
                <w:b/>
                <w:bCs/>
                <w:kern w:val="0"/>
                <w:sz w:val="24"/>
                <w:szCs w:val="24"/>
                <w:lang w:eastAsia="en-US" w:bidi="ar-SA"/>
              </w:rPr>
              <w:t>MAMONT</w:t>
            </w:r>
            <w:r>
              <w:rPr>
                <w:b/>
                <w:bCs/>
                <w:kern w:val="0"/>
                <w:sz w:val="24"/>
                <w:szCs w:val="24"/>
                <w:lang w:val="ru-RU" w:eastAsia="en-US" w:bidi="ar-SA"/>
              </w:rPr>
              <w:t xml:space="preserve"> </w:t>
            </w:r>
            <w:r>
              <w:rPr>
                <w:b/>
                <w:bCs/>
                <w:kern w:val="0"/>
                <w:sz w:val="24"/>
                <w:szCs w:val="24"/>
                <w:lang w:val="uk-UA" w:eastAsia="en-US" w:bidi="ar-SA"/>
              </w:rPr>
              <w:t xml:space="preserve">м.Харків </w:t>
            </w:r>
          </w:p>
          <w:p>
            <w:pPr>
              <w:pStyle w:val="Normal"/>
              <w:widowControl w:val="false"/>
              <w:spacing w:before="0" w:after="0"/>
              <w:jc w:val="center"/>
              <w:rPr>
                <w:b/>
                <w:b/>
                <w:bCs/>
                <w:sz w:val="24"/>
                <w:szCs w:val="24"/>
                <w:lang w:val="ru-RU"/>
              </w:rPr>
            </w:pPr>
            <w:r>
              <w:rPr>
                <w:b/>
                <w:bCs/>
                <w:kern w:val="0"/>
                <w:sz w:val="24"/>
                <w:szCs w:val="24"/>
                <w:lang w:val="uk-UA" w:eastAsia="en-US" w:bidi="ar-SA"/>
              </w:rPr>
              <w:t xml:space="preserve">2017- почав практикувати цифрову стоматологію </w:t>
            </w:r>
          </w:p>
          <w:p>
            <w:pPr>
              <w:pStyle w:val="Normal"/>
              <w:widowControl w:val="false"/>
              <w:spacing w:before="0" w:after="0"/>
              <w:jc w:val="center"/>
              <w:rPr>
                <w:b/>
                <w:b/>
                <w:bCs/>
                <w:sz w:val="24"/>
                <w:szCs w:val="24"/>
                <w:lang w:val="ru-RU"/>
              </w:rPr>
            </w:pPr>
            <w:r>
              <w:rPr>
                <w:b/>
                <w:bCs/>
                <w:kern w:val="0"/>
                <w:sz w:val="24"/>
                <w:szCs w:val="24"/>
                <w:lang w:val="uk-UA" w:eastAsia="en-US" w:bidi="ar-SA"/>
              </w:rPr>
              <w:t xml:space="preserve">2022- вступив до аспірантури ХНМУ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Програма заходу БПР</w:t>
            </w:r>
          </w:p>
        </w:tc>
        <w:tc>
          <w:tcPr>
            <w:tcW w:w="4675" w:type="dxa"/>
            <w:tcBorders/>
            <w:shd w:color="auto" w:fill="auto" w:val="clear"/>
          </w:tcPr>
          <w:p>
            <w:pPr>
              <w:pStyle w:val="Normal"/>
              <w:widowControl w:val="false"/>
              <w:spacing w:before="0" w:after="0"/>
              <w:jc w:val="left"/>
              <w:rPr>
                <w:b/>
                <w:b/>
                <w:bCs/>
                <w:sz w:val="24"/>
                <w:szCs w:val="24"/>
                <w:lang w:val="uk-UA"/>
              </w:rPr>
            </w:pPr>
            <w:r>
              <w:rPr>
                <w:b/>
                <w:bCs/>
                <w:kern w:val="0"/>
                <w:sz w:val="24"/>
                <w:szCs w:val="24"/>
                <w:lang w:val="uk-UA" w:eastAsia="en-US" w:bidi="ar-SA"/>
              </w:rPr>
              <w:t xml:space="preserve">Лекційна частина: Розбір технології сканування, розбір протоколу фотографування, розбір протоколу збору функціонального анамнезу, розбір протоколу мікроінвазивного препарування твердих тканин зубів, розбір адгезивного протоколу фіксації керамічних реставрацій. </w:t>
            </w:r>
          </w:p>
          <w:p>
            <w:pPr>
              <w:pStyle w:val="Normal"/>
              <w:widowControl w:val="false"/>
              <w:spacing w:before="0" w:after="0"/>
              <w:jc w:val="left"/>
              <w:rPr>
                <w:b/>
                <w:b/>
                <w:bCs/>
                <w:sz w:val="24"/>
                <w:szCs w:val="24"/>
                <w:lang w:val="uk-UA"/>
              </w:rPr>
            </w:pPr>
            <w:r>
              <w:rPr>
                <w:b/>
                <w:bCs/>
                <w:kern w:val="0"/>
                <w:sz w:val="24"/>
                <w:szCs w:val="22"/>
                <w:lang w:val="uk-UA" w:eastAsia="en-US" w:bidi="ar-SA"/>
              </w:rPr>
            </w:r>
          </w:p>
          <w:p>
            <w:pPr>
              <w:pStyle w:val="Normal"/>
              <w:widowControl w:val="false"/>
              <w:spacing w:before="0" w:after="0"/>
              <w:jc w:val="left"/>
              <w:rPr>
                <w:b/>
                <w:b/>
                <w:bCs/>
                <w:sz w:val="24"/>
                <w:szCs w:val="24"/>
                <w:lang w:val="uk-UA"/>
              </w:rPr>
            </w:pPr>
            <w:r>
              <w:rPr>
                <w:b/>
                <w:bCs/>
                <w:kern w:val="0"/>
                <w:sz w:val="24"/>
                <w:szCs w:val="24"/>
                <w:lang w:val="uk-UA" w:eastAsia="en-US" w:bidi="ar-SA"/>
              </w:rPr>
              <w:t xml:space="preserve">Практична частина: відпрацювання навички фотографування, навички створення смайл дизайну, навички реєстрації співвідношення, навички препарування під повну коронку, під оклюзійну накладку, під вініл 1го та 2го типу, відпрацювання навички фіксації ортопедичних конструкцій на різні види цементів.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Опис вимог рівня знань, володіння темою, навичок, досвіду учасників до моменту реєстрації на даний захід (за потреби)</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Володіння базовими знаннями з ортопедичної стоматології</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bookmarkStart w:id="0" w:name="__DdeLink__2039_1334292162"/>
            <w:r>
              <w:rPr>
                <w:kern w:val="0"/>
                <w:sz w:val="24"/>
                <w:szCs w:val="24"/>
                <w:lang w:val="uk-UA" w:eastAsia="en-US" w:bidi="ar-SA"/>
              </w:rPr>
              <w:t xml:space="preserve">Технічна підтримка (так/ні?). </w:t>
            </w:r>
            <w:r>
              <w:rPr>
                <w:i/>
                <w:iCs/>
                <w:kern w:val="0"/>
                <w:szCs w:val="22"/>
                <w:lang w:val="uk-UA" w:eastAsia="en-US" w:bidi="ar-S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bookmarkEnd w:id="0"/>
          </w:p>
        </w:tc>
        <w:tc>
          <w:tcPr>
            <w:tcW w:w="4675" w:type="dxa"/>
            <w:tcBorders/>
            <w:shd w:color="auto" w:fill="auto" w:val="clear"/>
          </w:tcPr>
          <w:p>
            <w:pPr>
              <w:pStyle w:val="Normal"/>
              <w:widowControl w:val="false"/>
              <w:spacing w:before="0" w:after="0"/>
              <w:jc w:val="center"/>
              <w:rPr>
                <w:b/>
                <w:b/>
                <w:bCs/>
                <w:color w:val="FF0000"/>
                <w:sz w:val="24"/>
                <w:szCs w:val="24"/>
                <w:highlight w:val="white"/>
                <w:lang w:val="uk-UA"/>
              </w:rPr>
            </w:pPr>
            <w:r>
              <w:rPr>
                <w:b/>
                <w:bCs/>
                <w:kern w:val="0"/>
                <w:sz w:val="24"/>
                <w:szCs w:val="24"/>
                <w:lang w:val="uk-UA" w:eastAsia="en-US" w:bidi="ar-SA"/>
              </w:rPr>
              <w:t>ні</w:t>
            </w:r>
            <w:bookmarkStart w:id="1" w:name="_GoBack"/>
            <w:bookmarkEnd w:id="1"/>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Методи оцінювання набутих знань</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4"/>
                <w:lang w:val="uk-UA" w:eastAsia="en-US" w:bidi="ar-SA"/>
              </w:rPr>
              <w:t xml:space="preserve">Тестування </w:t>
            </w:r>
          </w:p>
        </w:tc>
      </w:tr>
      <w:tr>
        <w:trPr/>
        <w:tc>
          <w:tcPr>
            <w:tcW w:w="3963" w:type="dxa"/>
            <w:tcBorders/>
            <w:shd w:color="auto" w:fill="auto" w:val="clear"/>
          </w:tcPr>
          <w:p>
            <w:pPr>
              <w:pStyle w:val="ListParagraph"/>
              <w:widowControl w:val="false"/>
              <w:numPr>
                <w:ilvl w:val="0"/>
                <w:numId w:val="1"/>
              </w:numPr>
              <w:spacing w:before="0" w:after="0"/>
              <w:ind w:left="306" w:right="-106" w:hanging="306"/>
              <w:contextualSpacing/>
              <w:jc w:val="left"/>
              <w:rPr>
                <w:sz w:val="24"/>
                <w:szCs w:val="24"/>
                <w:lang w:val="uk-UA"/>
              </w:rPr>
            </w:pPr>
            <w:r>
              <w:rPr>
                <w:kern w:val="0"/>
                <w:sz w:val="24"/>
                <w:szCs w:val="24"/>
                <w:lang w:val="uk-UA" w:eastAsia="en-US" w:bidi="ar-SA"/>
              </w:rPr>
              <w:t>Код заходу БПР (</w:t>
            </w:r>
            <w:r>
              <w:rPr>
                <w:i/>
                <w:iCs/>
                <w:kern w:val="0"/>
                <w:szCs w:val="22"/>
                <w:lang w:val="uk-UA" w:eastAsia="en-US" w:bidi="ar-SA"/>
              </w:rPr>
              <w:t>Реєстраційний номер заходу БПР вноситься після присвоєння Адміністратором</w:t>
            </w:r>
            <w:r>
              <w:rPr>
                <w:kern w:val="0"/>
                <w:sz w:val="24"/>
                <w:szCs w:val="24"/>
                <w:lang w:val="uk-UA" w:eastAsia="en-US" w:bidi="ar-SA"/>
              </w:rPr>
              <w:t>)</w:t>
            </w:r>
          </w:p>
        </w:tc>
        <w:tc>
          <w:tcPr>
            <w:tcW w:w="4675" w:type="dxa"/>
            <w:tcBorders/>
            <w:shd w:color="auto" w:fill="auto" w:val="clear"/>
          </w:tcPr>
          <w:p>
            <w:pPr>
              <w:pStyle w:val="Normal"/>
              <w:widowControl w:val="false"/>
              <w:spacing w:before="0" w:after="0"/>
              <w:jc w:val="center"/>
              <w:rPr>
                <w:b/>
                <w:b/>
                <w:bCs/>
                <w:sz w:val="24"/>
                <w:szCs w:val="24"/>
                <w:lang w:val="uk-UA"/>
              </w:rPr>
            </w:pPr>
            <w:r>
              <w:rPr>
                <w:b/>
                <w:bCs/>
                <w:kern w:val="0"/>
                <w:sz w:val="24"/>
                <w:szCs w:val="22"/>
                <w:lang w:val="uk-UA" w:eastAsia="en-US" w:bidi="ar-SA"/>
              </w:rPr>
            </w:r>
          </w:p>
        </w:tc>
      </w:tr>
    </w:tbl>
    <w:p>
      <w:pPr>
        <w:pStyle w:val="Style17"/>
        <w:rPr>
          <w:lang w:val="ru-RU"/>
        </w:rPr>
      </w:pPr>
      <w:r>
        <w:br w:type="column"/>
      </w:r>
      <w:r>
        <w:rPr/>
      </w:r>
    </w:p>
    <w:sectPr>
      <w:footerReference w:type="default" r:id="rId2"/>
      <w:type w:val="nextPage"/>
      <w:pgSz w:w="11906" w:h="16838"/>
      <w:pgMar w:left="1701" w:right="850" w:gutter="0" w:header="0" w:top="1134" w:footer="709" w:bottom="1134"/>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48325621"/>
    </w:sdtPr>
    <w:sdtContent>
      <w:p>
        <w:pPr>
          <w:pStyle w:val="Style22"/>
          <w:jc w:val="center"/>
          <w:rPr/>
        </w:pPr>
        <w:r>
          <w:rPr/>
          <w:fldChar w:fldCharType="begin"/>
        </w:r>
        <w:r>
          <w:rPr/>
          <w:instrText xml:space="preserve"> PAGE </w:instrText>
        </w:r>
        <w:r>
          <w:rPr/>
          <w:fldChar w:fldCharType="separate"/>
        </w:r>
        <w:r>
          <w:rPr/>
          <w:t>3</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aa-E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aa-E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66ca"/>
    <w:pPr>
      <w:widowControl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eb66ca"/>
    <w:rPr>
      <w:rFonts w:ascii="Times New Roman" w:hAnsi="Times New Roman" w:eastAsia="Times New Roman" w:cs="Times New Roman"/>
      <w:sz w:val="28"/>
      <w:szCs w:val="28"/>
      <w:lang w:val="en-US"/>
    </w:rPr>
  </w:style>
  <w:style w:type="character" w:styleId="Style15" w:customStyle="1">
    <w:name w:val="Нижний колонтитул Знак"/>
    <w:basedOn w:val="DefaultParagraphFont"/>
    <w:uiPriority w:val="99"/>
    <w:qFormat/>
    <w:rsid w:val="00eb66ca"/>
    <w:rPr>
      <w:rFonts w:ascii="Times New Roman" w:hAnsi="Times New Roman" w:eastAsia="Times New Roman" w:cs="Times New Roman"/>
      <w:lang w:val="en-US"/>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uiPriority w:val="1"/>
    <w:qFormat/>
    <w:rsid w:val="00eb66ca"/>
    <w:pPr>
      <w:ind w:left="161" w:hanging="0"/>
      <w:jc w:val="both"/>
    </w:pPr>
    <w:rPr>
      <w:sz w:val="28"/>
      <w:szCs w:val="28"/>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1"/>
    <w:qFormat/>
    <w:rsid w:val="00eb66ca"/>
    <w:pPr>
      <w:ind w:left="161" w:right="406" w:firstLine="708"/>
      <w:jc w:val="both"/>
    </w:pPr>
    <w:rPr/>
  </w:style>
  <w:style w:type="paragraph" w:styleId="Style21">
    <w:name w:val="Колонтитул"/>
    <w:basedOn w:val="Normal"/>
    <w:qFormat/>
    <w:pPr/>
    <w:rPr/>
  </w:style>
  <w:style w:type="paragraph" w:styleId="Style22">
    <w:name w:val="Footer"/>
    <w:basedOn w:val="Normal"/>
    <w:uiPriority w:val="99"/>
    <w:rsid w:val="00eb66ca"/>
    <w:pPr>
      <w:tabs>
        <w:tab w:val="clear" w:pos="720"/>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39"/>
    <w:rsid w:val="00ce10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LibreOffice/7.3.3.2$Windows_X86_64 LibreOffice_project/d1d0ea68f081ee2800a922cac8f79445e4603348</Application>
  <AppVersion>15.0000</AppVersion>
  <DocSecurity>0</DocSecurity>
  <Pages>3</Pages>
  <Words>328</Words>
  <Characters>2325</Characters>
  <CharactersWithSpaces>2605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2022-06-09T07:58:00Z</dcterms:created>
  <dc:creator>Valentyna Bykhovchenko</dc:creator>
  <dc:description/>
  <dc:language>ru-RU</dc:language>
  <cp:lastModifiedBy>user</cp:lastModifiedBy>
  <dcterms:modified xsi:type="dcterms:W3CDTF">2023-10-26T09:05:00Z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